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ОПЕРАТОРСКОЕ МАСТЕРСТВО </w:t>
      </w:r>
    </w:p>
    <w:p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«Операторское мастерство» - это предоставление студентам возможности ознакомиться не только с историей развития профессии кинооператора как в игровом, так и в других видах кинематографа (документальном, научно-популярном и телевизионном), но и возможности узнать о современном, сегодняшнем развитии операторской профессии; показать на примере современных фильмов достигнутый художественный уровень сегодняшних мастеров изображения как у нас в стране, так и за рубежом; научить студентов не только видеть внешнюю фабульную сторону фильма, но и узнавать каким образом и с какой техникой сняты те или иные сцены в фильмах; разбудить творческий потенциал студентов, опираясь на полученные знания; научить самостоятельно, на начальном профессиональном уровне, умению проводить съемки разными камерами, используя имеющиеся в распоряжении осветительное оборудование и разные технические приспособления.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данной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ознакомить студентов с технической стороной профессии оператора, научить работать с разными видами видеокамер, а также со вспомогательной техникой (тележки, краны и др. тех. приспособления); познакомить с законами композиции кадра и с построением ее на практике.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важнейшей составляющей успеха в работе профессионального кино-, видеооператора является умение работать со светом, понимание его значения и умение пользоваться различными осветительными приборами (для создания необходимой атмосферы фильма, передачи). Для этого обязательно выполнять практические задания по постановке света на портрет и на сцену того или иного эпизода фильма.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Важнейшая задача – научить студентов снимать характер человека в разных жизненных обстоятельствах.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этого, научить проводить репортажные съемки тех или иных событий, что очень важно как для документального, так и телевизионного кино; научить работать в разных местах: на натуре, в интерьере и павильоне.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  <w:lang w:eastAsia="zh-CN"/>
        </w:rPr>
        <w:t>» предполагает определенный объем самостоятельной работы студентов над заданиями  преподавателей, такими как операторский анализ фильма, съемка работ, небольших зарисовок и операторских этюдов. Для оптимального усвоения студентами материала такого интеллектуально  сложного  предмета, как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», успешного написания творческих заданий, настоятельной необходимостью является систематическое и по-настоящему заинтересованное чтение   литературы  по операторскому мастерству.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виде «Дополнительного списка рекомендованной литературы». </w:t>
      </w: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режиссуры, самостоятельная работа над произведениями в различных жанрах.  Особое значение имеет приобретение навыков самостоятельного изучение источников по теме и освоение теории и практики кинорежиссуры.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widowControl w:val="0"/>
        <w:tabs>
          <w:tab w:val="left" w:pos="108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рамках изучаемых тем в качестве  самостоятельной работы предусмотрен систематический просмотр  в  домашних  условиях   фильмов, ставших классикой мирового кино с последующим их разбором и обсуждением на практических занятиях. </w:t>
      </w:r>
    </w:p>
    <w:p>
      <w:pPr>
        <w:widowControl w:val="0"/>
        <w:tabs>
          <w:tab w:val="left" w:pos="1080"/>
        </w:tabs>
        <w:autoSpaceDE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Самостоятельная учебно-теоретическая работа включает в себя: Написание учебных рефератов с теоретическим анализом изобразительного решения фильмов, творчества выдающихся операторов, творческого использования современных технологий. Практическая работа на съёмочных площадках в кино и телевизионных студиях, на лекциях и практических занятиях в учебных заведениях и организациях. А также отдельные съемки по заданию мастера-руководителя.</w:t>
      </w:r>
    </w:p>
    <w:p>
      <w:pPr>
        <w:widowControl w:val="0"/>
        <w:tabs>
          <w:tab w:val="left" w:pos="1080"/>
        </w:tabs>
        <w:autoSpaceDE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Специальные задания для самостоятельной съемочной работы  включают в себя: 1. Разработка постановочного проекта: режиссерский сценарий на основе литературного с описанием технологических особенностей съемки и раскадровкой. 2. Выполнение операторской экспликации – замысел изобразительного решения учебной работы. 3. Разработка планировки мизансцен и съемочных точек, схем освещения, приемов съемки.</w:t>
      </w:r>
    </w:p>
    <w:p>
      <w:pPr>
        <w:widowControl w:val="0"/>
        <w:tabs>
          <w:tab w:val="left" w:pos="1080"/>
        </w:tabs>
        <w:autoSpaceDE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фильмы, просматривать рейтинговые оценки;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кинопрокатной жизнью, - самостоятельно отсматривать кассовые проекты, следить за финансируемыми государством проектами, оценивать зрительские предпочтения;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творческие работы;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фильмом; и многое другое.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по дисциплине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</w:rPr>
        <w:t xml:space="preserve">» обеспечивает: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режиссерских сценариев и разработка плана съемки;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режиссерских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</w:rPr>
        <w:t>» в качестве  самостоятельной работы предусмотрен систематический  разбор фильмов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операторских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Проводимые  в активной и интерактивной форме практические занятия должны воспитать в начинающих драматургах взыскательное отношения к работе режиссера на съемочной площадке над постановкой сценария и фильма. Сценарий является неотъемлемым элементом кинопроизводственного процесса, в котором оператор находит визуальное решение сюжетного движения. Владение операторской практикой, поиск общего языка сценариста и оператора есть залог создания крепкого творческого союза, в котором каждый является творческой самодостаточной личностью, не ущемляющей творческую волю другого. Обучение драматургов основам операторского мастерства раскрывает общий горизонт их видения кинематографического процесса. В процессе проведения практических занятий студенты создают «Букварь кино и телевидения». Это цикл упражнений, локальных видеоэтюдов на различные темы. Это своеобразный букварь, где на практике изучаются основные «буквы», «словосочетания», «фразы», из которых потом и получается «книга», в нашем случае – телепередача, фильм. В практических работах, выполняемых студентами должно ощутимо выразиться своеобразие индивидуального авторского почерка будущего драматурга, умение художественно осваивать окружающую действительность. Главной целью дисциплины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</w:rPr>
        <w:t>» является установление сопряженности с базовой дисциплиной «Мастерство кинодраматурга», формирование навыков работы над собственными сценариями короткометражных фильмов, а также приобретения навыков командной работы с кинооператорами. Одной из задач дисциплины 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Операторское мастерство</w:t>
      </w:r>
      <w:r>
        <w:rPr>
          <w:rFonts w:ascii="Times New Roman" w:hAnsi="Times New Roman" w:cs="Times New Roman"/>
          <w:sz w:val="28"/>
          <w:szCs w:val="28"/>
        </w:rPr>
        <w:t>» является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режиссерский сценарий фильма, операторская разработка методик съемки, план монтажно-тонировочного периода.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должен содержать: режиссерский сценарий фильма, операторскую методику съемки, план монтажно-тонировочного периода. После этого приступает непосредственно к съемочному периоду.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Подготовка к участию в «круглом столе» (коллективное обсуждение творческого проекта).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Выразительные средства операторского 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2.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Советская школа операторского 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3.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Специфика работы оператора над научно-исследовательским материалом, экспериментальной наукой, новейшими технологиями.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4.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операторской работы при искусственном и естественном освещении.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5.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Цвет как выразительное средство в искусстве оператора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6.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Влияние изменения угла раскрытия обтюратора на воспроизведение движущихся объектов.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7.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Использование зональных линз при киносъемке.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8.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Компенсация зелени люминесцентных ламп при съемке в интерьере с другими источниками света и еѐ коррекция при печати.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9.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Применение поляризационных светофильтров.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10. Разные кинокамеры, разные форматы кинопленки: 35мм и 16мм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11.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Съемки ручной (живой) камерой: возможности, сравнительный анализ амортизационных устройств и практические рекомендации по их применению в съемочном процессе.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12.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Анализ операторской работы Сергея Мачильского в кинокартине «КИКС»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13.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Другая школа. Михаил Кричман.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14.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Изобразительный подход оператора Б.И.Волчека на примере фильма «Пышка».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15.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Исследование творчества Павла Лебешева в кинофильме «Раба любви».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16.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Работа оператора Роджера Дикинса над фильмом «Убийство Джесси Джеймса трусливым Робертом Фордом.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u w:val="single"/>
          <w:lang w:eastAsia="zh-CN"/>
        </w:rPr>
        <w:t xml:space="preserve">Темы для самостоятельной подготовки к практическим занятиям: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Цифровые видеокамеры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Чем обусловлен выбор разных стандартов видеозаписи в странах мира?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В чём отличие цифровых кинокамер от видеокамер?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Для чего используют кинокамеры с разрешением  Full HD 4К?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Композиция кадра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Что такое правило «Золотого сечения»?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особенности необходимо учитывать при определении границ кадра?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правильно построить композицию?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3.Характер освещения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Какими величинами определяются яркости?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бывают характеры освещения в природе?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От чего зависит характер освещения объекта?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4.Работа  с оптикой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Что обозначает диафрагма?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характеристики бывают у объективов?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различается угол поля зрения у разных объективов?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5.Производственные и творческие обязанности оператора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вы думаете, в чём заключается природа кинооператора?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Какова роль оператора к съёмках кинопроизведения?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Почему оператор является соавтором кинопроизведения?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6.Съемочно-постановочная работа над натурными объектами фильма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 счёт чего создаваемое вами изображение может стать выразительным и запоминающимся?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правильно выставить композицию?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Какой эффект можно получить за счёт съемки  против солнца или когда оно светит сбоку?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Съёмочно-постановочная работа над павильонными объектами фильма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Где необходимо располагать источник света в павильоне?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Какой фон должен быть и что должно входить в кадр?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Что означает съемка восьмёркой и где её используют?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Российская школа операторского искусства. История и становление.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Назовите главных представителей русской операторской школы и фильмы, которые они сняли?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отличия в съемки вы можете заметить в русской и французской школах в довоенный период  с точки зрения операторского мастерства?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 Мастерство кинооператора в довоенных фильмах.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новые приемы использовались в фильме «Андалузский Пес»   Бунюэля?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В чём заключался смысл в эффектах Кулешова?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бывают уровни монтажа в американских фильмах, как они влияют на восприятие фильма?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Реальный мир и его экранная модель.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за счёт света можно добиться разного эмоционального настроения?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бывают законы константности величины и формы?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 движение камеры может передать эмоции экранного мира?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11.Философия фотографии и кинематографа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Что такое художественный образ?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В чём заключается философия кинематографа?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В чём заключается философия фотографии?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12.Цветовая температура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Что такое цветовая температура?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Какие бывают значения цветовой температуры?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Какие бывают световые излучения? </w:t>
      </w:r>
    </w:p>
    <w:p>
      <w:pPr>
        <w:widowControl w:val="0"/>
        <w:shd w:val="clear" w:color="auto" w:fill="FFFFFF"/>
        <w:spacing w:before="180" w:after="60" w:line="293" w:lineRule="exact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1. Выразительные средства экранных искусств.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2. Жанры телевизионной документалистики.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3. Творчество Дзиги Вертова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4. Приемы и виды съемки, ракурс.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5. Советская школа операторского искусства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6. Творчество Сергея Урусевского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7. Значение фона в композиционном построении кадра.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8.  Работа оператора с фонами натурными и павильонными.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9. Экранная иллюзия реальности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10. Виды освещения: эффектное, имитация солнечного света и др.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11. Особенности операторской работы при искусственном и естественном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освещении.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12. Цветовая температура. Спектральный состав освещения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13 Эстетика эксцентризма.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14. Создание иллюзии средствами монтажа временных и пространственных перемещений.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15. Общий, средний, крупный планы. Деталь, как средство выразительности.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16. Выделение сюжетно-композиционного центра кадра. Световой и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цветовой контрасты.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17. Динамичные приемы съемки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18. Формирование телевизионного изображения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19. Оптико-фоническая целостность экранного произведения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20. Картинная плоскость кадра, как смысловая единица информации. Кадр-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троп, кадр-символ.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21. Репортаж — основа телевизионного информационного вещания.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22. Работа оператора над информационными блоками и общественно-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политическими программами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23. Особенности съемки спортивных сюжетов, фильмов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24. Специфика работы оператора над научно-исследовательским материалом,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экспериментальной наукой, новейшими технологиями.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25. Цвет как выразительное и изобразительное средство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26 Понятие ритма.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Ритм декорационных и натурных элементов. Темпоритм мизансцены.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27. Особенности съемки телеспектаклей, фильмов-балетов, фильмов-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спектаклей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28. Коммутация осветительной аппаратуры в студии и в павильоне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29. Роль музыки в формировании экранных образов и композиционной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структуры фильма.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30. Творческо-производственные обязанности телевизионного оператора.</w:t>
      </w:r>
    </w:p>
    <w:p>
      <w:pPr>
        <w:spacing w:after="16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Композиционное построение изображения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Композиция в работе художника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Кадр. Устойчивая и неустойчивая композиция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Внутрикадровая композиция. Понятие о золотом сечении - равновесие композиции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Симметрия. Асимметрия. Контраст. Возможность усиления впечатления используя сочетания двух принципов ,типы контраста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Ритм. Ракурс, динамика ритма и влияние его на человека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Ракурс как прием операторского мастерства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Глубина пространства на плоском двухмерном экране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Виды перспективы. Масштаб изображения.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типы и разновидности перспектив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Понятие художественного изображения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Жанры изобразительного искусства. Портрет. Пейзаж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Экранный портрет как изобразительное искусство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Пейзаж как психологическое состояние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Динамика камеры, динамика света, динамика съемки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Панорамирование как внутрикадровый монтаж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Панорама новелла 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Панорама, проезд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Работа оператора со светом, поведение света на границе двух сред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Интерьер. Натюрморт, работа оператора в интерьере, натюрморт как образ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Функции света , свет в живописи, графике, фотографии 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Характеры освещения в природе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Разнообразие освещения для вариаций одного пейзажа 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Освещенность объектов в солнечную погоду, характеристика яркости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Освещенность объектов в пасмурную погоду. Съемка в условиях «ре-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жим», «режим» как приём операторского мастерства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Работа оператора со светом в павильоне. Требования к техническому оснащению павильона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Виды света. Световой ключ. Световой баланс.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понятие «свет» в живописи и фотографии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ключ + тональность в работе оператора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Методы освещения в павильоне.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пластика освещения и различие между павильоном и солнечным светом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Освещение общих, средних и крупных планов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освещения в работах В. Ван Гога и П. Сезанна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Методика освещения движущихся объектов.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Ж.А. Гудона со светом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и глубина мизансцен при помощи освещения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Драматургия света. Световые эффекты.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световых эффектов в работах Д.Г. Левицкого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оператора при работе светом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Цвет в кадре, в декорациях и интерьерах.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сочетание цветов в работах К.П. Брюллова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цвет как выразительное средство в искусстве оператора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Многокамерная съёмка- принципы работы оператора при многокамерных съёмках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Композиция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композиционное построение изображения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Глубина пространства на плоском двухмерном экране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пространство в работе оператора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Э.Тиссэ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Жанры изобразительного искусства. Портрет. Пейзаж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экранный портрет как изобразительное искусство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пейзаж как психологическое состояние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Динамика съёмки. Динамика света. Динамика камеры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в живописи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Б.Волчек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Работа оператора со светом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изображение посредством света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 в цвете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Распространение света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поток черного цвета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освещенная плоскость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Работа оператора в павильоне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требования к техническому оснащению павильона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колорит в живописи Тициана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Освещение общих, средних и крупных планов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освещения в работах В. Ван Гога и П. Сезанна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Основные выразительные средства операторского искусства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Урусевского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панорама как выразительное средство в мастерстве оператора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Кинооператорское искусство и традиций живописи, графики, фотографий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внутрикадровая композиция. Понятие о золотом сечений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ракурс как прием операторского мастерства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Светотональная и колористическая композиция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цвет как образ в композиции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светом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Принципы работы оператора на натуре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световая композиция пейзаж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солнечное освещение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Операторское мастерство специфическая область художественного искусства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операторского мастерства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художественный образ в работе оператора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Роль кинооператора-постановщика в реализации режиссерского замысла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в павильоне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 режиссером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Правила по технике эксплуатации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характеристика осветительных приборов </w:t>
      </w: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- характеристика съемочной аппаратуры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pStyle w:val="14"/>
        <w:numPr>
          <w:ilvl w:val="0"/>
          <w:numId w:val="2"/>
        </w:numPr>
        <w:ind w:left="0" w:firstLine="56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Нильсен, В. С. Изобразительное построение фильма: Теория и практика операторского мастерства / В. С. Нильсен. — Москва : Прометей, 2019. — 256 с. — ISBN 978-5-907166-50-9.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"https://e.lanbook.com/book/126749"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https://e.lanbook.com/book/126749</w:t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4"/>
        <w:numPr>
          <w:ilvl w:val="0"/>
          <w:numId w:val="2"/>
        </w:numPr>
        <w:ind w:left="0" w:firstLine="56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Медынский, С. Е. Оператор: Пространство. Кадр : учебное пособие / С. Е. Медынский. — Москва : Аспект Пресс, 2017. — 112 с. — ISBN 978-5-7567-0820-2.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"https://e.lanbook.com/book/97226"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https://e.lanbook.com/book/97226</w:t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numPr>
          <w:ilvl w:val="0"/>
          <w:numId w:val="2"/>
        </w:numPr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Волынец, М.М.  Волынец М.М. Профессия: оператор [Электронный ресурс] : учеб. пособие / М. М. Волынец ; Волынец М.М. - Москва : Аспект Пресс, 2011. - 186 c. - Базовая коллекция ЭБС "БиблиоРоссика". - МГИК. - Менеджмент в сфере искусства и культуры. - Театр, кино, режиссура. - ISBN 978–5–7567–0614–7. </w:t>
      </w:r>
    </w:p>
    <w:p>
      <w:pPr>
        <w:pStyle w:val="22"/>
        <w:spacing w:line="360" w:lineRule="auto"/>
        <w:ind w:right="463" w:firstLine="567"/>
        <w:rPr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</w:t>
      </w:r>
      <w:r>
        <w:rPr>
          <w:rFonts w:ascii="Times New Roman" w:hAnsi="Times New Roman" w:cs="Times New Roman"/>
          <w:b/>
          <w:i/>
          <w:sz w:val="28"/>
          <w:szCs w:val="28"/>
          <w:lang w:val="en-US" w:eastAsia="zh-CN"/>
        </w:rPr>
        <w:t>: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оружие - камера : Рассказы фронтовых кинооператоров [Текст] / Союз кинематографистов СССР. - 2-е изд., доп. - М. : Искусство, 1984. - 278 с. : ил.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Медынский С. Мастерство оператора документалиста. Часть 2. Прямая съёмка действительности. М., Изд-во 625, 2008 г.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Медынский, С. Е.  Компонуем кинокадр / С. Е. Медынский. - М. : Искусство, 1992. - 238, [1] с. : ил. - ISBN 5-210-00236-5. 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Миллерсон Д.  Телевизионное производство. М., Изд-во «Флинта», 2004 г.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Пааташвили Л. Полвека у стены Леонардо. М., Изд-во 625, 2006 г.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Питер Уорд. Композиция кадра в кино и на телевидении. ГИТР им.Литовчина, 2005 г.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Симаков, В. Д. Мастерство кинооператора : учеб.-метод. пособие / В. Д. Симаков ; Всесоюз. науч.-метод. центр нар. творч. и культ.-просвет. работы. - М., 1990. - 200,[1]с. - 3-28-.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Светлаков, Ю. Я. Свет мерцающих звезд [Электронный ресурс] / Ю. Я. Светлаков ; Светлаков Ю. Я. - Кемерово : КемГУКИ, 2010. - 169 c. - Базовая коллекция ЭБС "БиблиоРоссика". - ISBN 5-85905-257-X.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Светлаков, Ю. Я. Автор-оператор [Электронный ресурс] : учеб. пособие / Ю. Я. Светлаков ; Кемер. гос. ун-т культуры и искусств. - Кемерово : КемГУКИ, 2008. - 263 c. - Базовая коллекция ЭБС "БиблиоРоссика". - ISBN 978-5-903546-06-0.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ресурсов информационно-телекоммуникационной сети «Интернет».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 (основная фильмография):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Раздел зарубежное кино.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просмотра: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Раздел отечественное кино: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 (дополнительная фильмография)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1. «Агония», СССР, 1974-1981, реж. Элем Климов; опер. Леонид Калашников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2. «Амадей», США, 1984, реж. Милош Форман ; опер. Мирослав Ондржичек.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3. «Андрей Рублев», СССР, 1966; реж. Андрей Тарковский; опер. Вадим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Юсов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4. «Асино счастье», СССР, 1966, реж. Андрей Кончаловский; опер. Георгий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Рерберг.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5. «Асфальт», Германия, 1929 г., реж. Джо Мэй ; опер. Гюнтер Риттау.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6. «Аталанта», Франция, 1934, реж. Жан Виго; опер. Борис Кауфман.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7. «Баллада о солдате», СССР, 1959, реж. Григорий Чухрай; опер. Владимир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Николаев и Эра Савельева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8. «Беловы», Россия, 1993, реж. Виктор Косаковский, опер. Леонид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Коновалов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9. «Большой вальс», США, 1938, реж. Жюльен Дювивье, Виктор Флеминг,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Йозеф фон Штернберг; опер. Джозеф Руттенберг.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10. «Весна», СССР, 1947, реж. Григорий Александров; опер. Юрий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Екельчик.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Вдвоем», Россия, 2009, реж. и опер. Павел Костомаров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12. «Взгляните на лицо», 1966, Ленкинохроника, реж. Павел Коган,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Петр Мостовой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13. «Возвращение», Россия, 2003, реж. А.Звягинцев; опер. Михаил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Кричман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14. «Война и Мир», СССР, 1965, реж. Сергей Бондарчук; опер. Иоланда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Чен-Ю-Лан, Анатолий Петрицкий, Александр Шеленков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15. «8 1/2», Франция/Италия, 1963, реж. Федерико Феллини;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Джанни Ди Венанцо.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16. «Гамлет», СССР, 1964, реж. Григорий Козинцев; опер. Ионас Грицюс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17. «Гарпастум», Россия, 2006, реж. Алексей Герман мл.; опер. Олег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Лукичев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18. «Гражданин Кейн», США, 1941, реж. Орсон Уэллс; опер. Грегг Толанд.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19. «Дворянское гнездо», СССР, 1969, реж. Андрей Кончаловский;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Георгий Рерберг.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20. «Девять дней одного года», СССР, 1961, реж. Михаил Ромм;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Герман Лавров.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21. «Дневник его жены», Россия, реж. Алексей Учитель; опер. Юрий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Клименко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22. «Дядя Ваня», СССР, 1970, реж. Андрей Кончаловский; опер. Георгий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Рерберг.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23. «Живи и радуйся», Россия, 2001, Зап.-Сибирская студия кинохроники,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реж. Юрий Шиллер, опер.И.Тирский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24. «Звезда», 2002,Россия, реж. Николай Лебедев, опер. Юрий Невский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25. «Зеркало», СССР, 1974, реж. В.Виноградов, опер.Р.Веселер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26. «И корабль плывет», Франция/Италия, реж. Федерико Феллини;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Джузеппе Ротунно.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27. «Иваново детство», СССР, 1962, реж. Андрей Тарковский;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Вадим Юсов.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28. «Кабаре», США, 1972, реж. Боб Фосси; опер. Джефри Ансуорт.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29. «Когда деревья были большими», СССР, 1961, реж. Лев Кулиджанов;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Валерий Гинзбург.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30. «Комиссар», СССР, 1967, реж. Александр Аскольдов; опер. Валерий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Гинзбург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31. «Конец Санкт-Петербурга», СССР,1927, реж. Всеволод Пудовкин;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Анатолий Головня.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32. «Летят журавли», СССР, 1957, реж. Михаил Калатозов; опер. Сергей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Урусевский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33. «Мать», СССР, 1926, реж. Всеволод Пудовкин; опер. Анатолий Головня.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34. «Мать», Россия, реж. и опер. Павел Костомаров,Антуан Комен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35. «Мечта», СССР, 1941, реж. Михаил Ромм; опер. Борис Волчек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36. «Мне 20 лет», СССР, 1964, реж. Марлен Хуциев; опер. Маргарита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Пилихина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37. «Мой друг Иван Лапшин», СССР, 1984, реж. Алексей Герман;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Валерий Федосов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38. «Мольба», СССР, 1967, реж. Тенгиз Абуладзе; опер.Александр Антипенко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39. «Набережная Туманов», Франция, 1938, реж. Марсель Карне;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Юджен Шуффтан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40. «Начало», СССР, 1970, реж. Глеб Панфилов; опер. Дмитрий Долинин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41. «Неоконченная пьеса для механического пианино», СССР, 1977,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реж. Никита Михалков; опер. Павел Лебешев.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42. «Неотправленное письмо», СССР, 1959, реж. Михаил Калатозов;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опер.Сергей Урусевский.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43. «Несколько дней из жизни И.И. Обломова», СССР, 1979, реж. Никита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Михалков; опер.Павел Лебешев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44. «Нетерпимость», США, 1916, реж. Дэвид Уорк Гриффит;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Г.У.Битцер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45. «Однажды в Америке», США/Италия, 1984, Серджио Леоне; опер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Тонино Дели Колли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46. «Они сражались за Родину», СССР,1975, реж.Сергей Бондарчук;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Вадим Юсов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47. «О спорт, ты – мир», СССР, 1980, реж. Юрий Озеров, Борис Рычков,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Федор Хитрук; опер. Николай Олоновский, Лев Максимов, Михаил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Ашурков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48. «Остров», Россия, 2006, реж.Павел Лунгин; опер. Андрей Жигалов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49. «Пепел и алмаз», Польша, 1958, реж. Анджей Вайда; опер Ежи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Вуйчик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50. «Первый учитель»,СССР, 1965, реж. Андрей Кончаловский;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опер.Георгий Рерберг.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51. «Потомок Чингиз-хана», СССР, 1928, реж. Всеволод Пудовкин;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Анатолий Головня.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52. «Преступление и наказание», СССР, 1969, реж. Лев Кулиджанов;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Вячеслав Шумский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53. «Простая жизнь», Россия. 2002, реж. Марина Разбежкина,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Ирина Уральская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54. «Раба любви», СССР, 1975, реж. Никита Михалков; опер. Павел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Лебешев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55. « 72 метра», Россия, 2004, реж. Владимир Хотиненко; опер. Илья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Демин.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56. «Свои», Россия, 2004, реж. Дмитрий Месхиев; опер.Сергей Мачильский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57. «Сельская учительница», СССР, 1947, реж.Марк Донской;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Сергей Урусевский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58. «Семь самураев», Япония, 1954, реж. Акира Куросава; опер. Асакадзу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Накаи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59. «Сибириада», СССР, реж Андрон Кончаловский, опер. Леван Пааташвили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60. «Соль Сванетии», СССР, 1930, реж. Михаил Калатозов; опер. Михаил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Калатозов.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61. «Солярис», СССР, 1972, реж.Андрей Тарковский; опер. Вадим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Юсов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62. «Сто дней после детства», СССР, 1974, реж. Сергей Соловьев;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Леонид Калашников.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63. «Сталкер», СССР, 1979, реж. Андрей Тарковский, опер. Александр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Княжинский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64. «Страсти Жанны д’Арк», Франция,1927, реж. Карл Теодор Дрейер;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опер. Р. Мате.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65. «Титаник», США, 1997, реж. Джеймс Камерон, опер. Рассел Карпентер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66. «Тринадцать», СССР, 1936, реж. Михаил Ромм; опер. Борис Волчек.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67. «Тупик», США, 1937, реж. Уильям Уайлер; опер. Грегг Толанд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68. «Фанни и Александр», Швеция/Франция/Германия, 1982, реж. Ингмар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Бергман, опер. Свен Ньюквист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69. «Хлебный день»,1998, ВКРС, Россия, реж. Сергей Дворцевой,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Алишер Хамидходжаев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70. «Черный монах», СССР, 1988, реж. Иван Дыховичный; опер. Вадим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Юсов.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71. «Я – Куба», СССР/Куба, 1964, реж. Михаил Калатозов; опер. Сергей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Урусевский.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72. «Я – шагаю по Москве», СССР, 1963, реж. Георгий Данелия, опер.</w:t>
      </w:r>
    </w:p>
    <w:p>
      <w:pPr>
        <w:spacing w:after="20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Вадим Юсов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Смирнов Б.А., Негрук И.А., Вербловский Н.Б.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……………………..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shd w:val="clear" w:color="auto" w:fill="FFFFFF"/>
        <w:ind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0C3535"/>
    <w:multiLevelType w:val="multilevel"/>
    <w:tmpl w:val="140C353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2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3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7C0231AD"/>
    <w:multiLevelType w:val="multilevel"/>
    <w:tmpl w:val="7C0231AD"/>
    <w:lvl w:ilvl="0" w:tentative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81" w:hanging="360"/>
      </w:pPr>
    </w:lvl>
    <w:lvl w:ilvl="2" w:tentative="0">
      <w:start w:val="1"/>
      <w:numFmt w:val="lowerRoman"/>
      <w:lvlText w:val="%3."/>
      <w:lvlJc w:val="right"/>
      <w:pPr>
        <w:ind w:left="2401" w:hanging="180"/>
      </w:pPr>
    </w:lvl>
    <w:lvl w:ilvl="3" w:tentative="0">
      <w:start w:val="1"/>
      <w:numFmt w:val="decimal"/>
      <w:lvlText w:val="%4."/>
      <w:lvlJc w:val="left"/>
      <w:pPr>
        <w:ind w:left="3121" w:hanging="360"/>
      </w:pPr>
    </w:lvl>
    <w:lvl w:ilvl="4" w:tentative="0">
      <w:start w:val="1"/>
      <w:numFmt w:val="lowerLetter"/>
      <w:lvlText w:val="%5."/>
      <w:lvlJc w:val="left"/>
      <w:pPr>
        <w:ind w:left="3841" w:hanging="360"/>
      </w:pPr>
    </w:lvl>
    <w:lvl w:ilvl="5" w:tentative="0">
      <w:start w:val="1"/>
      <w:numFmt w:val="lowerRoman"/>
      <w:lvlText w:val="%6."/>
      <w:lvlJc w:val="right"/>
      <w:pPr>
        <w:ind w:left="4561" w:hanging="180"/>
      </w:pPr>
    </w:lvl>
    <w:lvl w:ilvl="6" w:tentative="0">
      <w:start w:val="1"/>
      <w:numFmt w:val="decimal"/>
      <w:lvlText w:val="%7."/>
      <w:lvlJc w:val="left"/>
      <w:pPr>
        <w:ind w:left="5281" w:hanging="360"/>
      </w:pPr>
    </w:lvl>
    <w:lvl w:ilvl="7" w:tentative="0">
      <w:start w:val="1"/>
      <w:numFmt w:val="lowerLetter"/>
      <w:lvlText w:val="%8."/>
      <w:lvlJc w:val="left"/>
      <w:pPr>
        <w:ind w:left="6001" w:hanging="360"/>
      </w:pPr>
    </w:lvl>
    <w:lvl w:ilvl="8" w:tentative="0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568B7"/>
    <w:rsid w:val="00174A3A"/>
    <w:rsid w:val="00182F60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50768F"/>
    <w:rsid w:val="00562A71"/>
    <w:rsid w:val="00623192"/>
    <w:rsid w:val="006A5193"/>
    <w:rsid w:val="007564F2"/>
    <w:rsid w:val="0076624E"/>
    <w:rsid w:val="007C5477"/>
    <w:rsid w:val="008734A1"/>
    <w:rsid w:val="008F0E9E"/>
    <w:rsid w:val="009121CF"/>
    <w:rsid w:val="009D6872"/>
    <w:rsid w:val="00A12833"/>
    <w:rsid w:val="00A6795D"/>
    <w:rsid w:val="00A81BD7"/>
    <w:rsid w:val="00AB445A"/>
    <w:rsid w:val="00AE49A4"/>
    <w:rsid w:val="00AF47C1"/>
    <w:rsid w:val="00BA2EAF"/>
    <w:rsid w:val="00BB68F6"/>
    <w:rsid w:val="00BF739F"/>
    <w:rsid w:val="00CE1C8A"/>
    <w:rsid w:val="00D53E3D"/>
    <w:rsid w:val="00DD179F"/>
    <w:rsid w:val="00E04718"/>
    <w:rsid w:val="00E71C65"/>
    <w:rsid w:val="00EE2A47"/>
    <w:rsid w:val="00F16CEF"/>
    <w:rsid w:val="00F26B9A"/>
    <w:rsid w:val="00F41C8D"/>
    <w:rsid w:val="00F44E44"/>
    <w:rsid w:val="00FA2449"/>
    <w:rsid w:val="00FF6BE1"/>
    <w:rsid w:val="1F27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99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Интернет) Знак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qFormat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6725</Words>
  <Characters>38337</Characters>
  <Lines>319</Lines>
  <Paragraphs>89</Paragraphs>
  <TotalTime>0</TotalTime>
  <ScaleCrop>false</ScaleCrop>
  <LinksUpToDate>false</LinksUpToDate>
  <CharactersWithSpaces>44973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2023-03-17T08:43:05Z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B3B95C82113348C49DAD96FB2EFC9E3D</vt:lpwstr>
  </property>
</Properties>
</file>